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6078" w:rsidRDefault="00216078" w:rsidP="001F36A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1F36A6" w:rsidRDefault="001F36A6" w:rsidP="001F36A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D64F2">
        <w:rPr>
          <w:rFonts w:ascii="Arial" w:hAnsi="Arial" w:cs="Arial"/>
          <w:b/>
          <w:sz w:val="24"/>
          <w:szCs w:val="24"/>
        </w:rPr>
        <w:t>Programa Município VerdeAzul</w:t>
      </w:r>
      <w:r>
        <w:rPr>
          <w:rFonts w:ascii="Arial" w:hAnsi="Arial" w:cs="Arial"/>
          <w:b/>
          <w:sz w:val="24"/>
          <w:szCs w:val="24"/>
        </w:rPr>
        <w:t xml:space="preserve"> - PMVA</w:t>
      </w:r>
    </w:p>
    <w:p w:rsidR="001F36A6" w:rsidRPr="000C2A70" w:rsidRDefault="001F36A6" w:rsidP="001F36A6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72"/>
      </w:tblGrid>
      <w:tr w:rsidR="001F36A6" w:rsidTr="001F36A6">
        <w:tc>
          <w:tcPr>
            <w:tcW w:w="8472" w:type="dxa"/>
            <w:shd w:val="clear" w:color="auto" w:fill="DDD9C3" w:themeFill="background2" w:themeFillShade="E6"/>
          </w:tcPr>
          <w:p w:rsidR="001F36A6" w:rsidRDefault="001F36A6" w:rsidP="003F09CE">
            <w:pPr>
              <w:jc w:val="center"/>
              <w:rPr>
                <w:rFonts w:ascii="Arial" w:hAnsi="Arial" w:cs="Arial"/>
                <w:b/>
              </w:rPr>
            </w:pPr>
            <w:r w:rsidRPr="008111AA">
              <w:rPr>
                <w:rFonts w:ascii="Arial" w:hAnsi="Arial" w:cs="Arial"/>
                <w:b/>
              </w:rPr>
              <w:t>DIRETIVA</w:t>
            </w:r>
          </w:p>
          <w:p w:rsidR="001F36A6" w:rsidRPr="008111AA" w:rsidRDefault="001F36A6" w:rsidP="003F09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ESGOTO TRATADO </w:t>
            </w:r>
          </w:p>
        </w:tc>
      </w:tr>
    </w:tbl>
    <w:p w:rsidR="001F36A6" w:rsidRDefault="001F36A6" w:rsidP="001F36A6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5065"/>
        <w:gridCol w:w="3429"/>
      </w:tblGrid>
      <w:tr w:rsidR="001F36A6" w:rsidRPr="00512E13" w:rsidTr="003F09CE">
        <w:tc>
          <w:tcPr>
            <w:tcW w:w="5065" w:type="dxa"/>
            <w:shd w:val="clear" w:color="auto" w:fill="DDD9C3" w:themeFill="background2" w:themeFillShade="E6"/>
          </w:tcPr>
          <w:p w:rsidR="001F36A6" w:rsidRPr="00027818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Município</w:t>
            </w:r>
          </w:p>
        </w:tc>
        <w:tc>
          <w:tcPr>
            <w:tcW w:w="3429" w:type="dxa"/>
            <w:shd w:val="clear" w:color="auto" w:fill="DDD9C3" w:themeFill="background2" w:themeFillShade="E6"/>
          </w:tcPr>
          <w:p w:rsidR="001F36A6" w:rsidRPr="00027818" w:rsidRDefault="001F36A6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CATANDUVA</w:t>
            </w:r>
          </w:p>
        </w:tc>
      </w:tr>
      <w:tr w:rsidR="001F36A6" w:rsidRPr="00512E13" w:rsidTr="003F09CE">
        <w:tc>
          <w:tcPr>
            <w:tcW w:w="5065" w:type="dxa"/>
            <w:shd w:val="clear" w:color="auto" w:fill="DDD9C3" w:themeFill="background2" w:themeFillShade="E6"/>
          </w:tcPr>
          <w:p w:rsidR="001F36A6" w:rsidRPr="0050604A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Mapa</w:t>
            </w:r>
          </w:p>
        </w:tc>
        <w:tc>
          <w:tcPr>
            <w:tcW w:w="3429" w:type="dxa"/>
            <w:shd w:val="clear" w:color="auto" w:fill="DDD9C3" w:themeFill="background2" w:themeFillShade="E6"/>
          </w:tcPr>
          <w:p w:rsidR="001F36A6" w:rsidRPr="00C1038A" w:rsidRDefault="001F36A6" w:rsidP="003F09CE">
            <w:p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AC79ED">
              <w:rPr>
                <w:rFonts w:ascii="Arial" w:hAnsi="Arial" w:cs="Arial"/>
                <w:sz w:val="20"/>
                <w:szCs w:val="20"/>
              </w:rPr>
              <w:t xml:space="preserve">https://www.google.com.br/maps             </w:t>
            </w:r>
            <w:r w:rsidRPr="00C1038A">
              <w:rPr>
                <w:rFonts w:ascii="Arial" w:hAnsi="Arial" w:cs="Arial"/>
                <w:sz w:val="20"/>
                <w:szCs w:val="20"/>
              </w:rPr>
              <w:t xml:space="preserve">             </w:t>
            </w:r>
          </w:p>
        </w:tc>
      </w:tr>
      <w:tr w:rsidR="001F36A6" w:rsidRPr="00512E13" w:rsidTr="003F09CE">
        <w:tc>
          <w:tcPr>
            <w:tcW w:w="5065" w:type="dxa"/>
            <w:shd w:val="clear" w:color="auto" w:fill="DDD9C3" w:themeFill="background2" w:themeFillShade="E6"/>
          </w:tcPr>
          <w:p w:rsidR="001F36A6" w:rsidRPr="0050604A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RA</w:t>
            </w:r>
          </w:p>
        </w:tc>
        <w:tc>
          <w:tcPr>
            <w:tcW w:w="3429" w:type="dxa"/>
            <w:shd w:val="clear" w:color="auto" w:fill="DDD9C3" w:themeFill="background2" w:themeFillShade="E6"/>
          </w:tcPr>
          <w:p w:rsidR="001F36A6" w:rsidRPr="00C1038A" w:rsidRDefault="001F36A6" w:rsidP="003F09C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São José do Rio Preto</w:t>
            </w:r>
          </w:p>
        </w:tc>
      </w:tr>
      <w:tr w:rsidR="001F36A6" w:rsidRPr="00512E13" w:rsidTr="003F09CE">
        <w:tc>
          <w:tcPr>
            <w:tcW w:w="5065" w:type="dxa"/>
            <w:shd w:val="clear" w:color="auto" w:fill="DDD9C3" w:themeFill="background2" w:themeFillShade="E6"/>
          </w:tcPr>
          <w:p w:rsidR="001F36A6" w:rsidRPr="0050604A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UGRHI</w:t>
            </w:r>
          </w:p>
        </w:tc>
        <w:tc>
          <w:tcPr>
            <w:tcW w:w="3429" w:type="dxa"/>
            <w:shd w:val="clear" w:color="auto" w:fill="DDD9C3" w:themeFill="background2" w:themeFillShade="E6"/>
          </w:tcPr>
          <w:p w:rsidR="001F36A6" w:rsidRPr="00C1038A" w:rsidRDefault="001F36A6" w:rsidP="003F09C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Turvo/Grande</w:t>
            </w:r>
          </w:p>
        </w:tc>
      </w:tr>
      <w:tr w:rsidR="001F36A6" w:rsidRPr="00512E13" w:rsidTr="003F09CE">
        <w:tc>
          <w:tcPr>
            <w:tcW w:w="5065" w:type="dxa"/>
            <w:shd w:val="clear" w:color="auto" w:fill="DDD9C3" w:themeFill="background2" w:themeFillShade="E6"/>
          </w:tcPr>
          <w:p w:rsidR="001F36A6" w:rsidRPr="00600E38" w:rsidRDefault="001F36A6" w:rsidP="001F36A6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 xml:space="preserve">Dados municipais </w:t>
            </w:r>
            <w:r>
              <w:rPr>
                <w:rFonts w:ascii="Arial" w:hAnsi="Arial" w:cs="Arial"/>
              </w:rPr>
              <w:t>(IBGE, 2013)</w:t>
            </w:r>
          </w:p>
        </w:tc>
        <w:tc>
          <w:tcPr>
            <w:tcW w:w="3429" w:type="dxa"/>
            <w:shd w:val="clear" w:color="auto" w:fill="DDD9C3" w:themeFill="background2" w:themeFillShade="E6"/>
          </w:tcPr>
          <w:p w:rsidR="001F36A6" w:rsidRPr="00C1038A" w:rsidRDefault="001F36A6" w:rsidP="003F09C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C1038A">
              <w:rPr>
                <w:rFonts w:ascii="Arial" w:hAnsi="Arial" w:cs="Arial"/>
                <w:sz w:val="20"/>
                <w:szCs w:val="20"/>
              </w:rPr>
              <w:t xml:space="preserve">População: </w:t>
            </w:r>
            <w:r>
              <w:rPr>
                <w:rFonts w:ascii="Arial" w:hAnsi="Arial" w:cs="Arial"/>
                <w:sz w:val="20"/>
                <w:szCs w:val="20"/>
              </w:rPr>
              <w:t>118.209</w:t>
            </w:r>
            <w:r w:rsidRPr="00C1038A">
              <w:rPr>
                <w:rFonts w:ascii="Arial" w:hAnsi="Arial" w:cs="Arial"/>
                <w:sz w:val="20"/>
                <w:szCs w:val="20"/>
              </w:rPr>
              <w:t xml:space="preserve"> habitantes </w:t>
            </w:r>
          </w:p>
          <w:p w:rsidR="001F36A6" w:rsidRPr="00C1038A" w:rsidRDefault="001F36A6" w:rsidP="003F09C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C1038A">
              <w:rPr>
                <w:rFonts w:ascii="Arial" w:hAnsi="Arial" w:cs="Arial"/>
                <w:sz w:val="20"/>
                <w:szCs w:val="20"/>
              </w:rPr>
              <w:t xml:space="preserve">Área: </w:t>
            </w:r>
            <w:r>
              <w:rPr>
                <w:rFonts w:ascii="Arial" w:hAnsi="Arial" w:cs="Arial"/>
                <w:sz w:val="20"/>
                <w:szCs w:val="20"/>
              </w:rPr>
              <w:t>290,6 K</w:t>
            </w:r>
            <w:r w:rsidRPr="00C1038A">
              <w:rPr>
                <w:rFonts w:ascii="Arial" w:hAnsi="Arial" w:cs="Arial"/>
                <w:sz w:val="20"/>
                <w:szCs w:val="20"/>
              </w:rPr>
              <w:t xml:space="preserve">m²                   </w:t>
            </w:r>
          </w:p>
        </w:tc>
      </w:tr>
      <w:tr w:rsidR="001F36A6" w:rsidRPr="00512E13" w:rsidTr="003F09CE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 xml:space="preserve">Experiência </w:t>
            </w:r>
          </w:p>
          <w:p w:rsidR="001F36A6" w:rsidRDefault="001F36A6" w:rsidP="003F09CE">
            <w:pPr>
              <w:jc w:val="center"/>
              <w:rPr>
                <w:rFonts w:ascii="Arial" w:hAnsi="Arial" w:cs="Arial"/>
              </w:rPr>
            </w:pPr>
          </w:p>
          <w:p w:rsidR="001F36A6" w:rsidRPr="00D6456E" w:rsidRDefault="001F36A6" w:rsidP="003F09CE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Construção e funcionamento da Estação Elevatória de Esgoto Bruto e da Estação de Tratamento de Esgoto </w:t>
            </w:r>
            <w:r w:rsidR="00830CF3">
              <w:rPr>
                <w:rFonts w:ascii="Arial" w:hAnsi="Arial" w:cs="Arial"/>
                <w:szCs w:val="24"/>
              </w:rPr>
              <w:t xml:space="preserve">– ETE </w:t>
            </w:r>
            <w:r>
              <w:rPr>
                <w:rFonts w:ascii="Arial" w:hAnsi="Arial" w:cs="Arial"/>
                <w:szCs w:val="24"/>
              </w:rPr>
              <w:t>de Catanduva.</w:t>
            </w:r>
          </w:p>
          <w:p w:rsidR="001F36A6" w:rsidRPr="001F0E3E" w:rsidRDefault="001F36A6" w:rsidP="003F09CE">
            <w:pPr>
              <w:jc w:val="both"/>
              <w:rPr>
                <w:rFonts w:ascii="Arial" w:hAnsi="Arial" w:cs="Arial"/>
                <w:szCs w:val="24"/>
              </w:rPr>
            </w:pPr>
          </w:p>
        </w:tc>
      </w:tr>
      <w:tr w:rsidR="001F36A6" w:rsidRPr="00512E13" w:rsidTr="003F09CE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Experiência e o PMVA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Experiência </w:t>
            </w:r>
            <w:r w:rsidR="00EB4599">
              <w:rPr>
                <w:rFonts w:ascii="Arial" w:hAnsi="Arial" w:cs="Arial"/>
              </w:rPr>
              <w:t>pontuada na D</w:t>
            </w:r>
            <w:r>
              <w:rPr>
                <w:rFonts w:ascii="Arial" w:hAnsi="Arial" w:cs="Arial"/>
              </w:rPr>
              <w:t>iretiva Esgoto Tratado no Ciclo 2015 do PMVA.</w:t>
            </w:r>
          </w:p>
          <w:p w:rsidR="001F36A6" w:rsidRPr="001F0E3E" w:rsidRDefault="001F36A6" w:rsidP="003F09CE">
            <w:pPr>
              <w:jc w:val="both"/>
              <w:rPr>
                <w:rFonts w:ascii="Arial" w:hAnsi="Arial" w:cs="Arial"/>
              </w:rPr>
            </w:pPr>
          </w:p>
        </w:tc>
      </w:tr>
      <w:tr w:rsidR="001F36A6" w:rsidRPr="00512E13" w:rsidTr="003F09CE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Objetivo(s)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Promover um eficiente tratamento do esgoto, essencial para a saúde pública e para a preservação do meio ambiente</w:t>
            </w:r>
            <w:r w:rsidR="00EB4599">
              <w:rPr>
                <w:rFonts w:ascii="Arial" w:hAnsi="Arial" w:cs="Arial"/>
              </w:rPr>
              <w:t xml:space="preserve"> (antes lançado, sem tratamento, no Rio São Domingos).</w:t>
            </w:r>
          </w:p>
          <w:p w:rsidR="001F36A6" w:rsidRPr="001F0E3E" w:rsidRDefault="001F36A6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b/>
              </w:rPr>
              <w:tab/>
            </w:r>
          </w:p>
        </w:tc>
      </w:tr>
      <w:tr w:rsidR="001F36A6" w:rsidRPr="00512E13" w:rsidTr="003F09CE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Gestor</w:t>
            </w:r>
            <w:r w:rsidR="00EB4599">
              <w:rPr>
                <w:rFonts w:ascii="Arial" w:hAnsi="Arial" w:cs="Arial"/>
                <w:b/>
              </w:rPr>
              <w:t>(es)</w:t>
            </w:r>
            <w:r>
              <w:rPr>
                <w:rFonts w:ascii="Arial" w:hAnsi="Arial" w:cs="Arial"/>
                <w:b/>
              </w:rPr>
              <w:t xml:space="preserve"> da Experiência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EB4599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SAEC - Superintendência de Água e Esgoto de Catanduva.</w:t>
            </w:r>
          </w:p>
          <w:p w:rsidR="001F36A6" w:rsidRPr="001F0E3E" w:rsidRDefault="001F36A6" w:rsidP="003F09CE">
            <w:pPr>
              <w:jc w:val="both"/>
              <w:rPr>
                <w:rFonts w:ascii="Arial" w:hAnsi="Arial" w:cs="Arial"/>
              </w:rPr>
            </w:pPr>
          </w:p>
        </w:tc>
      </w:tr>
      <w:tr w:rsidR="001F36A6" w:rsidRPr="00512E13" w:rsidTr="003F09CE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Início da Experiência e Situação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  <w:r w:rsidR="00EB4599">
              <w:rPr>
                <w:rFonts w:ascii="Arial" w:hAnsi="Arial" w:cs="Arial"/>
              </w:rPr>
              <w:t>15</w:t>
            </w:r>
            <w:r>
              <w:rPr>
                <w:rFonts w:ascii="Arial" w:hAnsi="Arial" w:cs="Arial"/>
              </w:rPr>
              <w:t xml:space="preserve"> – em </w:t>
            </w:r>
            <w:r w:rsidR="00EB4599">
              <w:rPr>
                <w:rFonts w:ascii="Arial" w:hAnsi="Arial" w:cs="Arial"/>
              </w:rPr>
              <w:t>desenvolvimento</w:t>
            </w:r>
            <w:r>
              <w:rPr>
                <w:rFonts w:ascii="Arial" w:hAnsi="Arial" w:cs="Arial"/>
              </w:rPr>
              <w:t>.</w:t>
            </w:r>
          </w:p>
          <w:p w:rsidR="001F36A6" w:rsidRPr="00124880" w:rsidRDefault="001F36A6" w:rsidP="003F09CE">
            <w:pPr>
              <w:jc w:val="both"/>
              <w:rPr>
                <w:rFonts w:ascii="Arial" w:hAnsi="Arial" w:cs="Arial"/>
              </w:rPr>
            </w:pPr>
          </w:p>
        </w:tc>
      </w:tr>
      <w:tr w:rsidR="001F36A6" w:rsidRPr="00512E13" w:rsidTr="003F09CE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Descrição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 Indicador de Coleta e Tratabilidade de Esgoto da População Urbana do Município – ICTEM, calculado pela Companhia Ambiental do Estado de São Paulo, traduz a situação do sistema de esgotamento sanitário, verificando a efetiva remoção da carga orgânica em relação à carga potencial gerada pela população urbana, englobando também a coleta, o afastamento, o tratamento dos esgotos, e a destinação dada aos lo</w:t>
            </w:r>
            <w:r w:rsidR="007528C8">
              <w:rPr>
                <w:rFonts w:ascii="Arial" w:hAnsi="Arial" w:cs="Arial"/>
              </w:rPr>
              <w:t>d</w:t>
            </w:r>
            <w:bookmarkStart w:id="0" w:name="_GoBack"/>
            <w:bookmarkEnd w:id="0"/>
            <w:r>
              <w:rPr>
                <w:rFonts w:ascii="Arial" w:hAnsi="Arial" w:cs="Arial"/>
              </w:rPr>
              <w:t>os gerados, além dos impactos causados aos corpos hídricos receptores dos efluentes.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Os elementos considerados para o cômputo do ICTEM encontram-se no Manual PMVA, disponível no site da Secretaria de Estado do Meio Ambiente.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</w:p>
          <w:p w:rsidR="00830CF3" w:rsidRDefault="00830CF3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O ICTEM de Catanduva saiu de 1,47 em 2014 para 9,96 em 2015.</w:t>
            </w:r>
          </w:p>
          <w:p w:rsidR="00830CF3" w:rsidRDefault="00830CF3" w:rsidP="003F09CE">
            <w:pPr>
              <w:jc w:val="both"/>
              <w:rPr>
                <w:rFonts w:ascii="Arial" w:hAnsi="Arial" w:cs="Arial"/>
              </w:rPr>
            </w:pPr>
          </w:p>
          <w:p w:rsidR="001F36A6" w:rsidRDefault="00830CF3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ETE foi um divisor de águas na história do Município, que passou a tratar 100% do esgoto e a despoluir o Rio São Domingos. O início das obras foi em 2013 e, em 27 de junho de 2015, a ETE foi inaugurada pelo Prefeito Geraldo Vinholi com a presença de diversas autoridades.</w:t>
            </w:r>
            <w:r w:rsidR="001F36A6">
              <w:rPr>
                <w:rFonts w:ascii="Arial" w:hAnsi="Arial" w:cs="Arial"/>
              </w:rPr>
              <w:t xml:space="preserve"> </w:t>
            </w:r>
          </w:p>
          <w:p w:rsidR="00830CF3" w:rsidRDefault="00830CF3" w:rsidP="003F09CE">
            <w:pPr>
              <w:jc w:val="both"/>
              <w:rPr>
                <w:rFonts w:ascii="Arial" w:hAnsi="Arial" w:cs="Arial"/>
              </w:rPr>
            </w:pPr>
          </w:p>
          <w:p w:rsidR="00830CF3" w:rsidRPr="00C27B51" w:rsidRDefault="00830CF3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inauguração da ETE trouxe mais qualidade de vida para a população de Catanduva, despoluindo o Rio São Domingos e beneficiando todos os 66 municípios que fazem parte do Comitê da Bacia Hidrográfica dos Rios Turvo e Grande (CBH-TG).</w:t>
            </w:r>
          </w:p>
          <w:p w:rsidR="001F36A6" w:rsidRPr="00851CA6" w:rsidRDefault="001F36A6" w:rsidP="003F09CE">
            <w:pPr>
              <w:jc w:val="both"/>
              <w:rPr>
                <w:rFonts w:ascii="Arial" w:hAnsi="Arial" w:cs="Arial"/>
              </w:rPr>
            </w:pPr>
          </w:p>
        </w:tc>
      </w:tr>
      <w:tr w:rsidR="001F36A6" w:rsidRPr="00512E13" w:rsidTr="003F09CE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  <w:r w:rsidRPr="008500A1">
              <w:rPr>
                <w:rFonts w:ascii="Arial" w:hAnsi="Arial" w:cs="Arial"/>
                <w:b/>
              </w:rPr>
              <w:t>Metodologia</w:t>
            </w:r>
            <w:r w:rsidRPr="008500A1">
              <w:rPr>
                <w:rFonts w:ascii="Arial" w:hAnsi="Arial" w:cs="Arial"/>
              </w:rPr>
              <w:t xml:space="preserve"> 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</w:p>
          <w:p w:rsidR="001F36A6" w:rsidRDefault="00830CF3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estação inaugurada tem capacidade para tratar cerca de 450 litros por segundo em seu pico máximo, e já se encontra em funcionamento, com licença de operação válida por vinte anos.</w:t>
            </w:r>
          </w:p>
          <w:p w:rsidR="00830CF3" w:rsidRDefault="00830CF3" w:rsidP="003F09CE">
            <w:pPr>
              <w:jc w:val="both"/>
              <w:rPr>
                <w:rFonts w:ascii="Arial" w:hAnsi="Arial" w:cs="Arial"/>
              </w:rPr>
            </w:pPr>
          </w:p>
          <w:p w:rsidR="009E6C7B" w:rsidRDefault="00830CF3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 esgoto coletado, antes de ser bombeado para a ETE, é encaminhado para a Estação Elevatória de Esgoto, local onde recebe o pré-tratamento, com um gradeamento capaz de separar sólidos com dimensões maiores, como frascos de shampoo, garrafas pet, fraldas, etc. </w:t>
            </w:r>
          </w:p>
          <w:p w:rsidR="009E6C7B" w:rsidRDefault="009E6C7B" w:rsidP="003F09CE">
            <w:pPr>
              <w:jc w:val="both"/>
              <w:rPr>
                <w:rFonts w:ascii="Arial" w:hAnsi="Arial" w:cs="Arial"/>
              </w:rPr>
            </w:pPr>
          </w:p>
          <w:p w:rsidR="00830CF3" w:rsidRDefault="00830CF3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Após o pré-tratamento, o esgoto </w:t>
            </w:r>
            <w:r w:rsidR="009E6C7B">
              <w:rPr>
                <w:rFonts w:ascii="Arial" w:hAnsi="Arial" w:cs="Arial"/>
              </w:rPr>
              <w:t>bombeado para a ETE passa por mais um gradeamento</w:t>
            </w:r>
            <w:r w:rsidR="00831658">
              <w:rPr>
                <w:rFonts w:ascii="Arial" w:hAnsi="Arial" w:cs="Arial"/>
              </w:rPr>
              <w:t xml:space="preserve"> (gradeamento fino)</w:t>
            </w:r>
            <w:r w:rsidR="009E6C7B">
              <w:rPr>
                <w:rFonts w:ascii="Arial" w:hAnsi="Arial" w:cs="Arial"/>
              </w:rPr>
              <w:t>, capaz de reter os pequenos sólidos, como cabelo e estopa, por exemplo. Em seguida segue para o desarenador – caixa de areia – onde toda a areia é retirada. Após estas etapas, o esgoto vai para as lagoas de aeração, onde o efluente é submetid</w:t>
            </w:r>
            <w:r w:rsidR="00216078">
              <w:rPr>
                <w:rFonts w:ascii="Arial" w:hAnsi="Arial" w:cs="Arial"/>
              </w:rPr>
              <w:t>o</w:t>
            </w:r>
            <w:r w:rsidR="009E6C7B">
              <w:rPr>
                <w:rFonts w:ascii="Arial" w:hAnsi="Arial" w:cs="Arial"/>
              </w:rPr>
              <w:t xml:space="preserve"> à agitação mecânica.</w:t>
            </w:r>
          </w:p>
          <w:p w:rsidR="009E6C7B" w:rsidRDefault="009E6C7B" w:rsidP="003F09CE">
            <w:pPr>
              <w:jc w:val="both"/>
              <w:rPr>
                <w:rFonts w:ascii="Arial" w:hAnsi="Arial" w:cs="Arial"/>
              </w:rPr>
            </w:pPr>
          </w:p>
          <w:p w:rsidR="009E6C7B" w:rsidRDefault="009E6C7B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Neste ponto ocorre a oxigenação da mistura, com a eliminação dos gases indesejáveis e a aceleração do processo de decomposição. Depois de determinado período, o efluente segue para as lagoas de decantação, onde os resíduos ficam depositados no fundo e a água livre dos resíduos segue para o Rio São Domingos. </w:t>
            </w:r>
          </w:p>
          <w:p w:rsidR="00216078" w:rsidRDefault="00216078" w:rsidP="003F09CE">
            <w:pPr>
              <w:jc w:val="both"/>
              <w:rPr>
                <w:rFonts w:ascii="Arial" w:hAnsi="Arial" w:cs="Arial"/>
              </w:rPr>
            </w:pPr>
          </w:p>
          <w:p w:rsidR="00216078" w:rsidRDefault="00216078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construção da ETE foi feita com recursos do PAC II (Governo Federal, a fundo perdido).</w:t>
            </w:r>
          </w:p>
          <w:p w:rsidR="001F36A6" w:rsidRPr="00A5057D" w:rsidRDefault="001F36A6" w:rsidP="003F09CE">
            <w:pPr>
              <w:jc w:val="both"/>
              <w:rPr>
                <w:rFonts w:ascii="Arial" w:hAnsi="Arial" w:cs="Arial"/>
              </w:rPr>
            </w:pPr>
          </w:p>
        </w:tc>
      </w:tr>
      <w:tr w:rsidR="001F36A6" w:rsidRPr="00512E13" w:rsidTr="003F09CE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Desafio</w:t>
            </w:r>
            <w:r w:rsidR="009E6C7B">
              <w:rPr>
                <w:rFonts w:ascii="Arial" w:hAnsi="Arial" w:cs="Arial"/>
                <w:b/>
              </w:rPr>
              <w:t>(</w:t>
            </w:r>
            <w:r>
              <w:rPr>
                <w:rFonts w:ascii="Arial" w:hAnsi="Arial" w:cs="Arial"/>
                <w:b/>
              </w:rPr>
              <w:t>s</w:t>
            </w:r>
            <w:r w:rsidR="009E6C7B">
              <w:rPr>
                <w:rFonts w:ascii="Arial" w:hAnsi="Arial" w:cs="Arial"/>
                <w:b/>
              </w:rPr>
              <w:t>)</w:t>
            </w:r>
          </w:p>
          <w:p w:rsidR="009E6C7B" w:rsidRDefault="009E6C7B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Pr="00F2616B" w:rsidRDefault="00F92BF0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Conscienti</w:t>
            </w:r>
            <w:r w:rsidR="008F44D8">
              <w:rPr>
                <w:rFonts w:ascii="Arial" w:hAnsi="Arial" w:cs="Arial"/>
              </w:rPr>
              <w:t>zação da população sobre a correta utilização da rede, sobre os problemas causados pelas ligações clandestinas de água de chuva na rede de esgoto, que atrapalham e sobrecarregam o funcionamento da ETE, e sobre a necessidade de não se lançar óleo de cozinha nas pias.</w:t>
            </w:r>
          </w:p>
          <w:p w:rsidR="001F36A6" w:rsidRPr="00197B5D" w:rsidRDefault="001F36A6" w:rsidP="003F09CE">
            <w:pPr>
              <w:jc w:val="both"/>
              <w:rPr>
                <w:rFonts w:ascii="Arial" w:hAnsi="Arial" w:cs="Arial"/>
              </w:rPr>
            </w:pPr>
          </w:p>
        </w:tc>
      </w:tr>
      <w:tr w:rsidR="001F36A6" w:rsidRPr="00826812" w:rsidTr="003F09CE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Pr="008500A1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 w:rsidRPr="008500A1">
              <w:rPr>
                <w:rFonts w:ascii="Arial" w:hAnsi="Arial" w:cs="Arial"/>
                <w:b/>
              </w:rPr>
              <w:t>Resultado</w:t>
            </w:r>
            <w:r w:rsidR="008F44D8">
              <w:rPr>
                <w:rFonts w:ascii="Arial" w:hAnsi="Arial" w:cs="Arial"/>
                <w:b/>
              </w:rPr>
              <w:t>(</w:t>
            </w:r>
            <w:r w:rsidRPr="008500A1">
              <w:rPr>
                <w:rFonts w:ascii="Arial" w:hAnsi="Arial" w:cs="Arial"/>
                <w:b/>
              </w:rPr>
              <w:t>s</w:t>
            </w:r>
            <w:r w:rsidR="008F44D8">
              <w:rPr>
                <w:rFonts w:ascii="Arial" w:hAnsi="Arial" w:cs="Arial"/>
                <w:b/>
              </w:rPr>
              <w:t>)</w:t>
            </w:r>
          </w:p>
          <w:p w:rsidR="001F36A6" w:rsidRPr="008500A1" w:rsidRDefault="001F36A6" w:rsidP="003F09CE">
            <w:pPr>
              <w:jc w:val="both"/>
              <w:rPr>
                <w:rFonts w:ascii="Arial" w:hAnsi="Arial" w:cs="Arial"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="008F44D8">
              <w:rPr>
                <w:rFonts w:ascii="Arial" w:hAnsi="Arial" w:cs="Arial"/>
              </w:rPr>
              <w:t>100% do tratamen</w:t>
            </w:r>
            <w:r>
              <w:rPr>
                <w:rFonts w:ascii="Arial" w:hAnsi="Arial" w:cs="Arial"/>
              </w:rPr>
              <w:t>to do esgoto da população urbana do Município;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</w:p>
          <w:p w:rsidR="001F36A6" w:rsidRDefault="008F44D8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Elevação da nota d</w:t>
            </w:r>
            <w:r w:rsidR="001F36A6">
              <w:rPr>
                <w:rFonts w:ascii="Arial" w:hAnsi="Arial" w:cs="Arial"/>
              </w:rPr>
              <w:t xml:space="preserve">o ICTEM </w:t>
            </w:r>
            <w:r>
              <w:rPr>
                <w:rFonts w:ascii="Arial" w:hAnsi="Arial" w:cs="Arial"/>
              </w:rPr>
              <w:t>do Município;</w:t>
            </w:r>
          </w:p>
          <w:p w:rsidR="008F44D8" w:rsidRDefault="008F44D8" w:rsidP="003F09CE">
            <w:pPr>
              <w:jc w:val="both"/>
              <w:rPr>
                <w:rFonts w:ascii="Arial" w:hAnsi="Arial" w:cs="Arial"/>
              </w:rPr>
            </w:pPr>
          </w:p>
          <w:p w:rsidR="008F44D8" w:rsidRDefault="008F44D8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Despoluição do Rio São Domingos, beneficiando todo o Município e os demais que fazem parte da Bacia Turvo-Grande (Atualmente, o efluente retorna ao rio com </w:t>
            </w:r>
            <w:r>
              <w:rPr>
                <w:rFonts w:ascii="Arial" w:hAnsi="Arial" w:cs="Arial"/>
              </w:rPr>
              <w:lastRenderedPageBreak/>
              <w:t>91,6% de remoção da matéria orgânica).</w:t>
            </w:r>
          </w:p>
          <w:p w:rsidR="001F36A6" w:rsidRPr="001F0E3E" w:rsidRDefault="001F36A6" w:rsidP="003F09CE">
            <w:pPr>
              <w:jc w:val="both"/>
              <w:rPr>
                <w:rFonts w:ascii="Arial" w:hAnsi="Arial" w:cs="Arial"/>
              </w:rPr>
            </w:pPr>
          </w:p>
        </w:tc>
      </w:tr>
      <w:tr w:rsidR="001F36A6" w:rsidRPr="00512E13" w:rsidTr="003F09CE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Equipe</w:t>
            </w:r>
            <w:r w:rsidR="008F44D8">
              <w:rPr>
                <w:rFonts w:ascii="Arial" w:hAnsi="Arial" w:cs="Arial"/>
                <w:b/>
              </w:rPr>
              <w:t>(s)</w:t>
            </w:r>
            <w:r>
              <w:rPr>
                <w:rFonts w:ascii="Arial" w:hAnsi="Arial" w:cs="Arial"/>
                <w:b/>
              </w:rPr>
              <w:t>/Área</w:t>
            </w:r>
            <w:r w:rsidR="008F44D8">
              <w:rPr>
                <w:rFonts w:ascii="Arial" w:hAnsi="Arial" w:cs="Arial"/>
                <w:b/>
              </w:rPr>
              <w:t>(</w:t>
            </w:r>
            <w:r>
              <w:rPr>
                <w:rFonts w:ascii="Arial" w:hAnsi="Arial" w:cs="Arial"/>
                <w:b/>
              </w:rPr>
              <w:t>s</w:t>
            </w:r>
            <w:r w:rsidR="008F44D8">
              <w:rPr>
                <w:rFonts w:ascii="Arial" w:hAnsi="Arial" w:cs="Arial"/>
                <w:b/>
              </w:rPr>
              <w:t>)</w:t>
            </w:r>
            <w:r>
              <w:rPr>
                <w:rFonts w:ascii="Arial" w:hAnsi="Arial" w:cs="Arial"/>
                <w:b/>
              </w:rPr>
              <w:t xml:space="preserve"> </w:t>
            </w:r>
            <w:r w:rsidR="008F44D8">
              <w:rPr>
                <w:rFonts w:ascii="Arial" w:hAnsi="Arial" w:cs="Arial"/>
                <w:b/>
              </w:rPr>
              <w:t>e</w:t>
            </w:r>
            <w:r>
              <w:rPr>
                <w:rFonts w:ascii="Arial" w:hAnsi="Arial" w:cs="Arial"/>
                <w:b/>
              </w:rPr>
              <w:t>nvolvida</w:t>
            </w:r>
            <w:r w:rsidR="008F44D8">
              <w:rPr>
                <w:rFonts w:ascii="Arial" w:hAnsi="Arial" w:cs="Arial"/>
                <w:b/>
              </w:rPr>
              <w:t>(</w:t>
            </w:r>
            <w:r>
              <w:rPr>
                <w:rFonts w:ascii="Arial" w:hAnsi="Arial" w:cs="Arial"/>
                <w:b/>
              </w:rPr>
              <w:t>s</w:t>
            </w:r>
            <w:r w:rsidR="008F44D8">
              <w:rPr>
                <w:rFonts w:ascii="Arial" w:hAnsi="Arial" w:cs="Arial"/>
                <w:b/>
              </w:rPr>
              <w:t>)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</w:p>
          <w:p w:rsidR="001F36A6" w:rsidRDefault="008F44D8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SAEC – Superintendência de Água e Esgoto de Catanduva</w:t>
            </w:r>
            <w:r w:rsidR="00831658">
              <w:rPr>
                <w:rFonts w:ascii="Arial" w:hAnsi="Arial" w:cs="Arial"/>
              </w:rPr>
              <w:t>.</w:t>
            </w:r>
          </w:p>
          <w:p w:rsidR="001F36A6" w:rsidRPr="001F0E3E" w:rsidRDefault="001F36A6" w:rsidP="003F09CE">
            <w:pPr>
              <w:jc w:val="both"/>
              <w:rPr>
                <w:rFonts w:ascii="Arial" w:hAnsi="Arial" w:cs="Arial"/>
              </w:rPr>
            </w:pPr>
          </w:p>
        </w:tc>
      </w:tr>
      <w:tr w:rsidR="001F36A6" w:rsidRPr="00512E13" w:rsidTr="003F09CE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Beneficiário</w:t>
            </w:r>
            <w:r w:rsidR="00831658">
              <w:rPr>
                <w:rFonts w:ascii="Arial" w:hAnsi="Arial" w:cs="Arial"/>
                <w:b/>
              </w:rPr>
              <w:t>(</w:t>
            </w:r>
            <w:r>
              <w:rPr>
                <w:rFonts w:ascii="Arial" w:hAnsi="Arial" w:cs="Arial"/>
                <w:b/>
              </w:rPr>
              <w:t>s</w:t>
            </w:r>
            <w:r w:rsidR="00831658">
              <w:rPr>
                <w:rFonts w:ascii="Arial" w:hAnsi="Arial" w:cs="Arial"/>
                <w:b/>
              </w:rPr>
              <w:t>)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Município de </w:t>
            </w:r>
            <w:r w:rsidR="00831658">
              <w:rPr>
                <w:rFonts w:ascii="Arial" w:hAnsi="Arial" w:cs="Arial"/>
              </w:rPr>
              <w:t>Catanduva, Catiguá, Tabapuã e Uchoa.</w:t>
            </w:r>
          </w:p>
          <w:p w:rsidR="001F36A6" w:rsidRPr="000F2C03" w:rsidRDefault="001F36A6" w:rsidP="003F09CE">
            <w:pPr>
              <w:jc w:val="both"/>
              <w:rPr>
                <w:rFonts w:ascii="Arial" w:hAnsi="Arial" w:cs="Arial"/>
              </w:rPr>
            </w:pPr>
          </w:p>
        </w:tc>
      </w:tr>
      <w:tr w:rsidR="001F36A6" w:rsidRPr="00512E13" w:rsidTr="00831658">
        <w:tc>
          <w:tcPr>
            <w:tcW w:w="8494" w:type="dxa"/>
            <w:gridSpan w:val="2"/>
          </w:tcPr>
          <w:p w:rsidR="001F36A6" w:rsidRDefault="001F36A6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1F36A6" w:rsidRPr="00641B15" w:rsidRDefault="001F36A6" w:rsidP="003F09CE">
            <w:pPr>
              <w:jc w:val="both"/>
              <w:rPr>
                <w:rFonts w:ascii="Arial" w:hAnsi="Arial" w:cs="Arial"/>
                <w:b/>
              </w:rPr>
            </w:pPr>
            <w:r w:rsidRPr="00641B15">
              <w:rPr>
                <w:rFonts w:ascii="Arial" w:hAnsi="Arial" w:cs="Arial"/>
                <w:b/>
              </w:rPr>
              <w:t>Fonte</w:t>
            </w:r>
            <w:r w:rsidR="00831658">
              <w:rPr>
                <w:rFonts w:ascii="Arial" w:hAnsi="Arial" w:cs="Arial"/>
                <w:b/>
              </w:rPr>
              <w:t>(</w:t>
            </w:r>
            <w:r w:rsidRPr="00641B15">
              <w:rPr>
                <w:rFonts w:ascii="Arial" w:hAnsi="Arial" w:cs="Arial"/>
                <w:b/>
              </w:rPr>
              <w:t>s</w:t>
            </w:r>
            <w:r w:rsidR="00831658">
              <w:rPr>
                <w:rFonts w:ascii="Arial" w:hAnsi="Arial" w:cs="Arial"/>
                <w:b/>
              </w:rPr>
              <w:t>)</w:t>
            </w: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</w:p>
          <w:p w:rsidR="001F36A6" w:rsidRDefault="001F36A6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Companhia Ambiental do Estado de São Paulo – CETESB</w:t>
            </w:r>
            <w:r w:rsidR="00831658">
              <w:rPr>
                <w:rFonts w:ascii="Arial" w:hAnsi="Arial" w:cs="Arial"/>
              </w:rPr>
              <w:t xml:space="preserve">, documento apresentado no Ciclo 2015 para fins de pontuação </w:t>
            </w:r>
            <w:r>
              <w:rPr>
                <w:rFonts w:ascii="Arial" w:hAnsi="Arial" w:cs="Arial"/>
              </w:rPr>
              <w:t xml:space="preserve">e site da </w:t>
            </w:r>
            <w:r w:rsidR="00831658">
              <w:rPr>
                <w:rFonts w:ascii="Arial" w:hAnsi="Arial" w:cs="Arial"/>
              </w:rPr>
              <w:t>Prefeitura Municipal de Catanduva</w:t>
            </w:r>
            <w:r>
              <w:rPr>
                <w:rFonts w:ascii="Arial" w:hAnsi="Arial" w:cs="Arial"/>
              </w:rPr>
              <w:t>.</w:t>
            </w:r>
          </w:p>
          <w:p w:rsidR="001F36A6" w:rsidRPr="001F0E3E" w:rsidRDefault="001F36A6" w:rsidP="003F09CE">
            <w:pPr>
              <w:jc w:val="both"/>
              <w:rPr>
                <w:rFonts w:ascii="Arial" w:hAnsi="Arial" w:cs="Arial"/>
              </w:rPr>
            </w:pPr>
          </w:p>
        </w:tc>
      </w:tr>
      <w:tr w:rsidR="00831658" w:rsidRPr="00512E13" w:rsidTr="003F09CE">
        <w:tc>
          <w:tcPr>
            <w:tcW w:w="8494" w:type="dxa"/>
            <w:gridSpan w:val="2"/>
            <w:tcBorders>
              <w:bottom w:val="single" w:sz="4" w:space="0" w:color="auto"/>
            </w:tcBorders>
          </w:tcPr>
          <w:p w:rsidR="00831658" w:rsidRDefault="00831658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831658" w:rsidRDefault="00831658" w:rsidP="003F09CE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Validação da Ficha</w:t>
            </w:r>
          </w:p>
          <w:p w:rsidR="00831658" w:rsidRDefault="00831658" w:rsidP="003F09CE">
            <w:pPr>
              <w:jc w:val="both"/>
              <w:rPr>
                <w:rFonts w:ascii="Arial" w:hAnsi="Arial" w:cs="Arial"/>
                <w:b/>
              </w:rPr>
            </w:pPr>
          </w:p>
          <w:p w:rsidR="00831658" w:rsidRDefault="00831658" w:rsidP="003F09C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Junho de 2016.</w:t>
            </w:r>
          </w:p>
          <w:p w:rsidR="00831658" w:rsidRPr="00831658" w:rsidRDefault="00831658" w:rsidP="003F09CE">
            <w:pPr>
              <w:jc w:val="both"/>
              <w:rPr>
                <w:rFonts w:ascii="Arial" w:hAnsi="Arial" w:cs="Arial"/>
              </w:rPr>
            </w:pPr>
          </w:p>
        </w:tc>
      </w:tr>
    </w:tbl>
    <w:p w:rsidR="001F36A6" w:rsidRDefault="001F36A6" w:rsidP="001F36A6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1F36A6" w:rsidRDefault="00831658" w:rsidP="001F36A6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F32C74">
        <w:rPr>
          <w:rFonts w:ascii="Arial" w:hAnsi="Arial" w:cs="Arial"/>
          <w:noProof/>
          <w:lang w:eastAsia="pt-BR"/>
        </w:rPr>
        <w:drawing>
          <wp:inline distT="0" distB="0" distL="0" distR="0" wp14:anchorId="1863E943" wp14:editId="4BF87579">
            <wp:extent cx="2685059" cy="1892966"/>
            <wp:effectExtent l="0" t="0" r="1270" b="0"/>
            <wp:docPr id="2" name="Imagem 2" descr="C:\Users\SAEC\Documents\SAEC - 2015\INAUGURAÇÃO DA ETE - docs\CONVITE ETE - NOVA DAT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EC\Documents\SAEC - 2015\INAUGURAÇÃO DA ETE - docs\CONVITE ETE - NOVA DATA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014" cy="191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658" w:rsidRDefault="00831658" w:rsidP="00831658">
      <w:r w:rsidRPr="00F32C74">
        <w:rPr>
          <w:rFonts w:ascii="Arial" w:hAnsi="Arial" w:cs="Arial"/>
          <w:noProof/>
          <w:lang w:eastAsia="pt-BR"/>
        </w:rPr>
        <w:drawing>
          <wp:inline distT="0" distB="0" distL="0" distR="0" wp14:anchorId="52B7742C" wp14:editId="62F08D48">
            <wp:extent cx="2722058" cy="1919051"/>
            <wp:effectExtent l="0" t="0" r="2540" b="5080"/>
            <wp:docPr id="3" name="Imagem 3" descr="C:\Users\SAEC\Documents\SAEC - 2015\INAUGURAÇÃO DA ETE - docs\CONVITE ETE - NOVA DAT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EC\Documents\SAEC - 2015\INAUGURAÇÃO DA ETE - docs\CONVITE ETE - NOVA DATA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70" cy="193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658" w:rsidRPr="00216078" w:rsidRDefault="00831658" w:rsidP="00831658">
      <w:pPr>
        <w:rPr>
          <w:rFonts w:ascii="Arial" w:hAnsi="Arial" w:cs="Arial"/>
          <w:sz w:val="16"/>
          <w:szCs w:val="16"/>
        </w:rPr>
      </w:pPr>
      <w:r w:rsidRPr="00216078">
        <w:rPr>
          <w:rFonts w:ascii="Arial" w:hAnsi="Arial" w:cs="Arial"/>
          <w:sz w:val="16"/>
          <w:szCs w:val="16"/>
        </w:rPr>
        <w:t xml:space="preserve">       </w:t>
      </w:r>
      <w:r w:rsidR="00216078">
        <w:rPr>
          <w:rFonts w:ascii="Arial" w:hAnsi="Arial" w:cs="Arial"/>
          <w:sz w:val="16"/>
          <w:szCs w:val="16"/>
        </w:rPr>
        <w:t xml:space="preserve">   </w:t>
      </w:r>
      <w:r w:rsidRPr="00216078">
        <w:rPr>
          <w:rFonts w:ascii="Arial" w:hAnsi="Arial" w:cs="Arial"/>
          <w:sz w:val="16"/>
          <w:szCs w:val="16"/>
        </w:rPr>
        <w:t>Informe e convite – Prefeitura de Catanduva</w:t>
      </w:r>
    </w:p>
    <w:p w:rsidR="00216078" w:rsidRDefault="00216078" w:rsidP="00831658">
      <w:pPr>
        <w:jc w:val="center"/>
        <w:rPr>
          <w:rFonts w:ascii="Arial" w:hAnsi="Arial" w:cs="Arial"/>
          <w:sz w:val="20"/>
          <w:szCs w:val="20"/>
        </w:rPr>
      </w:pPr>
    </w:p>
    <w:p w:rsidR="00831658" w:rsidRPr="00831658" w:rsidRDefault="00831658" w:rsidP="00831658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>Ação de Educação Ambiental para Conscientização da População – Prefeitura Municipal de Catanduva:</w:t>
      </w: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pt-BR"/>
        </w:rPr>
        <w:drawing>
          <wp:inline distT="0" distB="0" distL="0" distR="0">
            <wp:extent cx="5400040" cy="7636386"/>
            <wp:effectExtent l="0" t="0" r="0" b="317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pt-BR"/>
        </w:rPr>
        <w:lastRenderedPageBreak/>
        <w:drawing>
          <wp:inline distT="0" distB="0" distL="0" distR="0">
            <wp:extent cx="5400040" cy="7636386"/>
            <wp:effectExtent l="0" t="0" r="0" b="317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pt-BR"/>
        </w:rPr>
        <w:lastRenderedPageBreak/>
        <w:drawing>
          <wp:inline distT="0" distB="0" distL="0" distR="0">
            <wp:extent cx="5400040" cy="7636386"/>
            <wp:effectExtent l="0" t="0" r="0" b="317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pt-BR"/>
        </w:rPr>
        <w:lastRenderedPageBreak/>
        <w:drawing>
          <wp:inline distT="0" distB="0" distL="0" distR="0">
            <wp:extent cx="5400040" cy="7636386"/>
            <wp:effectExtent l="0" t="0" r="0" b="317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pt-BR"/>
        </w:rPr>
        <w:lastRenderedPageBreak/>
        <w:drawing>
          <wp:inline distT="0" distB="0" distL="0" distR="0">
            <wp:extent cx="5400040" cy="7636386"/>
            <wp:effectExtent l="0" t="0" r="0" b="317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pt-BR"/>
        </w:rPr>
        <w:lastRenderedPageBreak/>
        <w:drawing>
          <wp:inline distT="0" distB="0" distL="0" distR="0">
            <wp:extent cx="5400040" cy="7636386"/>
            <wp:effectExtent l="0" t="0" r="0" b="317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pt-BR"/>
        </w:rPr>
        <w:lastRenderedPageBreak/>
        <w:drawing>
          <wp:inline distT="0" distB="0" distL="0" distR="0">
            <wp:extent cx="5400040" cy="7636386"/>
            <wp:effectExtent l="0" t="0" r="0" b="317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pt-BR"/>
        </w:rPr>
        <w:lastRenderedPageBreak/>
        <w:drawing>
          <wp:inline distT="0" distB="0" distL="0" distR="0">
            <wp:extent cx="5400040" cy="7636386"/>
            <wp:effectExtent l="0" t="0" r="0" b="317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658" w:rsidRDefault="00831658" w:rsidP="00831658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pt-BR"/>
        </w:rPr>
        <w:lastRenderedPageBreak/>
        <w:drawing>
          <wp:inline distT="0" distB="0" distL="0" distR="0">
            <wp:extent cx="5400040" cy="7636386"/>
            <wp:effectExtent l="0" t="0" r="0" b="317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658" w:rsidRPr="00831658" w:rsidRDefault="00831658" w:rsidP="00831658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pt-BR"/>
        </w:rPr>
        <w:lastRenderedPageBreak/>
        <w:drawing>
          <wp:inline distT="0" distB="0" distL="0" distR="0">
            <wp:extent cx="5400040" cy="7636386"/>
            <wp:effectExtent l="0" t="0" r="0" b="317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1658" w:rsidRPr="00831658" w:rsidSect="008568D5">
      <w:pgSz w:w="11906" w:h="16838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31658" w:rsidRDefault="00831658" w:rsidP="00831658">
      <w:pPr>
        <w:spacing w:after="0" w:line="240" w:lineRule="auto"/>
      </w:pPr>
      <w:r>
        <w:separator/>
      </w:r>
    </w:p>
  </w:endnote>
  <w:endnote w:type="continuationSeparator" w:id="0">
    <w:p w:rsidR="00831658" w:rsidRDefault="00831658" w:rsidP="008316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31658" w:rsidRDefault="00831658" w:rsidP="00831658">
      <w:pPr>
        <w:spacing w:after="0" w:line="240" w:lineRule="auto"/>
      </w:pPr>
      <w:r>
        <w:separator/>
      </w:r>
    </w:p>
  </w:footnote>
  <w:footnote w:type="continuationSeparator" w:id="0">
    <w:p w:rsidR="00831658" w:rsidRDefault="00831658" w:rsidP="0083165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36A6"/>
    <w:rsid w:val="001F36A6"/>
    <w:rsid w:val="00216078"/>
    <w:rsid w:val="007528C8"/>
    <w:rsid w:val="00830CF3"/>
    <w:rsid w:val="00831658"/>
    <w:rsid w:val="008F44D8"/>
    <w:rsid w:val="009E6C7B"/>
    <w:rsid w:val="00DA2B42"/>
    <w:rsid w:val="00EB4599"/>
    <w:rsid w:val="00F92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474890"/>
  <w15:docId w15:val="{BA8CC997-E7C6-4C59-A4B9-A1F23D2242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F36A6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1F36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1F36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F36A6"/>
    <w:rPr>
      <w:rFonts w:ascii="Tahoma" w:hAnsi="Tahoma" w:cs="Tahoma"/>
      <w:sz w:val="16"/>
      <w:szCs w:val="16"/>
    </w:rPr>
  </w:style>
  <w:style w:type="character" w:styleId="Refdecomentrio">
    <w:name w:val="annotation reference"/>
    <w:basedOn w:val="Fontepargpadro"/>
    <w:uiPriority w:val="99"/>
    <w:semiHidden/>
    <w:unhideWhenUsed/>
    <w:rsid w:val="008F44D8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8F44D8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8F44D8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8F44D8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8F44D8"/>
    <w:rPr>
      <w:b/>
      <w:bCs/>
      <w:sz w:val="20"/>
      <w:szCs w:val="20"/>
    </w:rPr>
  </w:style>
  <w:style w:type="paragraph" w:styleId="Cabealho">
    <w:name w:val="header"/>
    <w:basedOn w:val="Normal"/>
    <w:link w:val="CabealhoChar"/>
    <w:uiPriority w:val="99"/>
    <w:unhideWhenUsed/>
    <w:rsid w:val="0083165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31658"/>
  </w:style>
  <w:style w:type="paragraph" w:styleId="Rodap">
    <w:name w:val="footer"/>
    <w:basedOn w:val="Normal"/>
    <w:link w:val="RodapChar"/>
    <w:uiPriority w:val="99"/>
    <w:unhideWhenUsed/>
    <w:rsid w:val="0083165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3165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13</Pages>
  <Words>699</Words>
  <Characters>3775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LIE SHITARA SCHUTZER</dc:creator>
  <cp:lastModifiedBy>Nathalia Vieira Medeiros</cp:lastModifiedBy>
  <cp:revision>6</cp:revision>
  <cp:lastPrinted>2016-06-21T20:18:00Z</cp:lastPrinted>
  <dcterms:created xsi:type="dcterms:W3CDTF">2016-06-16T16:23:00Z</dcterms:created>
  <dcterms:modified xsi:type="dcterms:W3CDTF">2016-07-22T11:49:00Z</dcterms:modified>
</cp:coreProperties>
</file>